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07"/>
        <w:gridCol w:w="376"/>
        <w:gridCol w:w="371"/>
        <w:gridCol w:w="2268"/>
        <w:gridCol w:w="2209"/>
        <w:gridCol w:w="294"/>
        <w:gridCol w:w="1237"/>
        <w:gridCol w:w="1551"/>
        <w:gridCol w:w="237"/>
        <w:gridCol w:w="73"/>
        <w:gridCol w:w="86"/>
        <w:gridCol w:w="353"/>
        <w:gridCol w:w="114"/>
        <w:gridCol w:w="103"/>
        <w:gridCol w:w="44"/>
      </w:tblGrid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28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7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C82894">
            <w:r>
              <w:rPr>
                <w:rFonts w:eastAsia="Calibri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6B62D95" wp14:editId="25FF8459">
                  <wp:extent cx="743585" cy="829310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85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7" w:type="dxa"/>
            <w:gridSpan w:val="4"/>
            <w:vMerge/>
          </w:tcPr>
          <w:p w:rsidR="00E50502" w:rsidRDefault="00E50502">
            <w:pPr>
              <w:pStyle w:val="EmptyLayoutCell"/>
            </w:pPr>
          </w:p>
        </w:tc>
        <w:tc>
          <w:tcPr>
            <w:tcW w:w="7796" w:type="dxa"/>
            <w:gridSpan w:val="6"/>
          </w:tcPr>
          <w:tbl>
            <w:tblPr>
              <w:tblW w:w="779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96"/>
            </w:tblGrid>
            <w:tr w:rsidR="00E50502" w:rsidTr="00C82894">
              <w:trPr>
                <w:trHeight w:val="770"/>
              </w:trPr>
              <w:tc>
                <w:tcPr>
                  <w:tcW w:w="77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82894" w:rsidRPr="00D24911" w:rsidRDefault="00C82894" w:rsidP="00C82894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D24911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C82894" w:rsidRPr="00D24911" w:rsidRDefault="00C82894" w:rsidP="00C82894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D24911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E50502" w:rsidRDefault="00C82894" w:rsidP="00C82894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E50502" w:rsidRDefault="00E50502"/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75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7" w:type="dxa"/>
            <w:gridSpan w:val="4"/>
            <w:vMerge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94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83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1"/>
            </w:tblGrid>
            <w:tr w:rsidR="00E50502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50502" w:rsidRDefault="00E50502"/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5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283B6C" w:rsidTr="00C82894">
        <w:trPr>
          <w:trHeight w:val="373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04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48"/>
            </w:tblGrid>
            <w:tr w:rsidR="00E50502" w:rsidRPr="00283B6C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 w:rsidP="000257BC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spellStart"/>
                  <w:r w:rsidR="00F21E66">
                    <w:rPr>
                      <w:color w:val="000000"/>
                      <w:sz w:val="28"/>
                      <w:lang w:val="ru-RU"/>
                    </w:rPr>
                    <w:t>Р.А.Гуща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257B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063D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 w:rsidTr="00C82894">
        <w:trPr>
          <w:trHeight w:val="4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55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8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5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C82894">
        <w:trPr>
          <w:trHeight w:val="37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78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E50502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0502" w:rsidRDefault="000257B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6850E4A" wp14:editId="4982236B">
                        <wp:extent cx="1057275" cy="409575"/>
                        <wp:effectExtent l="0" t="0" r="9525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50502" w:rsidRDefault="00E50502"/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28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2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05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50502" w:rsidRDefault="00E50502"/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Баскетбол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50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050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30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50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050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50502" w:rsidRDefault="00E50502"/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393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283B6C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 w:rsidRPr="00283B6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 w:rsidTr="00C82894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55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8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5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283B6C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 w:rsidRPr="00283B6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 w:rsidP="00E16F7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283B6C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E16F73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E16F73">
                    <w:rPr>
                      <w:color w:val="000000"/>
                      <w:sz w:val="32"/>
                      <w:lang w:val="ru-RU"/>
                    </w:rPr>
                    <w:t>а.</w:t>
                  </w:r>
                  <w:proofErr w:type="gramStart"/>
                  <w:r w:rsidR="00E16F73">
                    <w:rPr>
                      <w:color w:val="000000"/>
                      <w:sz w:val="32"/>
                      <w:lang w:val="ru-RU"/>
                    </w:rPr>
                    <w:t>ч</w:t>
                  </w:r>
                  <w:proofErr w:type="spellEnd"/>
                  <w:proofErr w:type="gramEnd"/>
                  <w:r w:rsidRPr="00283B6C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283B6C" w:rsidRDefault="00283B6C" w:rsidP="00E16F7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283B6C" w:rsidRPr="00283B6C" w:rsidRDefault="00283B6C" w:rsidP="00283B6C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283B6C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283B6C" w:rsidRPr="00283B6C" w:rsidRDefault="00283B6C" w:rsidP="00E16F73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50502" w:rsidRPr="00283B6C" w:rsidRDefault="00E50502">
            <w:pPr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 w:rsidTr="00C82894">
        <w:trPr>
          <w:trHeight w:val="402"/>
        </w:trPr>
        <w:tc>
          <w:tcPr>
            <w:tcW w:w="23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37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551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7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3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86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53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283B6C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8240" w:type="dxa"/>
            <w:gridSpan w:val="8"/>
          </w:tcPr>
          <w:p w:rsidR="00C82894" w:rsidRPr="00283B6C" w:rsidRDefault="00C8289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05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0257BC" w:rsidRDefault="00E50502" w:rsidP="000257B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0257B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50502" w:rsidRDefault="00E50502"/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18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</w:tbl>
    <w:p w:rsidR="00E50502" w:rsidRDefault="00E50502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50502">
        <w:trPr>
          <w:trHeight w:val="179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3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9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283B6C" w:rsidTr="00E16F73">
        <w:trPr>
          <w:trHeight w:val="425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2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 w:rsidP="00500B11">
                  <w:pPr>
                    <w:jc w:val="both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16F73">
                    <w:rPr>
                      <w:i/>
                      <w:color w:val="000000"/>
                      <w:sz w:val="28"/>
                      <w:lang w:val="ru-RU"/>
                    </w:rPr>
                    <w:t>Баскетбол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>
        <w:trPr>
          <w:trHeight w:val="283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283B6C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50502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50502" w:rsidRDefault="00E50502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50502" w:rsidRPr="00283B6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3B72" w:rsidP="00513551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E50502" w:rsidRPr="00E16F73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>
        <w:trPr>
          <w:trHeight w:val="44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283B6C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50502" w:rsidRPr="00283B6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>
        <w:trPr>
          <w:trHeight w:val="211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5050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 w:rsidP="00500B11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50502" w:rsidRDefault="00E50502"/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283B6C" w:rsidTr="00E16F73">
        <w:trPr>
          <w:trHeight w:val="425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2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500B11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283B6C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2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>
        <w:trPr>
          <w:trHeight w:val="103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283B6C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2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283B6C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2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063DA3" w:rsidRDefault="00E50502" w:rsidP="000257BC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0257B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063DA3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1</w:t>
                  </w:r>
                  <w:r w:rsidR="000257BC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2474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3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9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3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9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5050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</w:tbl>
    <w:p w:rsidR="00E50502" w:rsidRDefault="00E5050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50502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05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50502" w:rsidRDefault="00E50502"/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283B6C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2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 w:rsidP="00E16F73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          Целью освоения дисциплины Баскетбол является развитие физических и психических качеств обучающихся, необходимых для их будущей профессиональной деятельности, через освоение знаний и умений игры в баскетбол.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Освоение дисциплины способствует подготовке выпускника к решению задач профессиональной деятельности: организационно-управленческого и проектного типа.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Основные задачи освоения дисциплины: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изучение общих вопросов о месте и значении баскетбола как средства физической культуры в системе физического воспитания;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освоение методики преподавания баскетбола, связанной с обучением, начальной тренировкой в различных звеньях физического воспитания;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овладеть техникой игры в баскетбол;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постоянно  повышать  свою  профессиональную  квалификацию используя игровые навыки, тактику игровых моментов и ситуаций и правила поведения в игре;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- развитие основных физических качеств: быстроты, </w:t>
                  </w:r>
                  <w:proofErr w:type="spellStart"/>
                  <w:r w:rsidRPr="00E16F73">
                    <w:rPr>
                      <w:color w:val="000000"/>
                      <w:sz w:val="28"/>
                      <w:lang w:val="ru-RU"/>
                    </w:rPr>
                    <w:t>выносливости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,с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t>коростно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-силовых качеств;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укрепление здоровья обучающихся, повышение работоспособности;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воспитании личности, способной к самостоятельной. творческой деятельности.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>
        <w:trPr>
          <w:trHeight w:val="10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283B6C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2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>
        <w:trPr>
          <w:trHeight w:val="74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283B6C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E50502" w:rsidRPr="00283B6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50502" w:rsidRPr="00283B6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УК-7.1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lastRenderedPageBreak/>
                    <w:t>-самостоятельно развивать и поддерживать физические качества..</w:t>
                  </w:r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50502" w:rsidRPr="00283B6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>
        <w:trPr>
          <w:trHeight w:val="159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283B6C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2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283B6C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2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>
        <w:trPr>
          <w:trHeight w:val="10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283B6C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2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E16F73" w:rsidRPr="00283B6C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72949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72949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E16F73" w:rsidRPr="00283B6C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72949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72949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16F73" w:rsidTr="00E50502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3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232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72949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72949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E16F73" w:rsidRPr="00283B6C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72949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72949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50502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16F73" w:rsidTr="00E50502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78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Pr="00E16F73" w:rsidRDefault="00E16F7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593"/>
              <w:gridCol w:w="937"/>
              <w:gridCol w:w="764"/>
              <w:gridCol w:w="1396"/>
              <w:gridCol w:w="979"/>
              <w:gridCol w:w="935"/>
              <w:gridCol w:w="1558"/>
            </w:tblGrid>
            <w:tr w:rsidR="00E16F73" w:rsidRPr="00283B6C" w:rsidTr="00E16F7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</w:tr>
            <w:tr w:rsidR="00E50502" w:rsidRPr="00283B6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Техника и тактика игры в баскетбол.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Двухсторонняя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 и специальная физическая подготовка баскетболиста.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Штрафной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бросок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перемещений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владения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мячом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Индивидуальные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Групповые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16F73" w:rsidRPr="00283B6C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lastRenderedPageBreak/>
                    <w:t>В том числе: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329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5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593"/>
              <w:gridCol w:w="937"/>
              <w:gridCol w:w="764"/>
              <w:gridCol w:w="1396"/>
              <w:gridCol w:w="979"/>
              <w:gridCol w:w="935"/>
              <w:gridCol w:w="1558"/>
            </w:tblGrid>
            <w:tr w:rsidR="00E16F73" w:rsidRPr="00283B6C" w:rsidTr="00E16F7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</w:tr>
            <w:tr w:rsidR="00E50502" w:rsidRPr="00283B6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Техника и тактика игры в баскетбол.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Двухсторонняя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 и специальная физическая подготовка баскетболиста.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Штрафной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бросок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перемещений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владения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мячом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Индивидуальные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Групповые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16F73" w:rsidRPr="00283B6C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644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283B6C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2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E50502" w:rsidRPr="00283B6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Техника и тактика игры в баскетбол.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Двухсторонняя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 и специальная физическая подготовка баскетболиста.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Штрафной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бросок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перемещений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владения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мячом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Индивидуальные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Групповые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Официальные правила игры в баскетбол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92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0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283B6C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2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>
        <w:trPr>
          <w:trHeight w:val="29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283B6C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2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283B6C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C82894" w:rsidRPr="00E51190" w:rsidRDefault="00C82894" w:rsidP="00C8289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51190">
              <w:rPr>
                <w:b/>
                <w:bCs/>
                <w:sz w:val="28"/>
                <w:szCs w:val="28"/>
                <w:lang w:val="ru-RU"/>
              </w:rPr>
              <w:t>Основная учебная литература</w:t>
            </w:r>
          </w:p>
          <w:p w:rsidR="00C82894" w:rsidRPr="00E51190" w:rsidRDefault="00C82894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1</w:t>
            </w:r>
            <w:r w:rsidRPr="00E51190">
              <w:rPr>
                <w:sz w:val="28"/>
                <w:szCs w:val="28"/>
                <w:lang w:val="ru-RU"/>
              </w:rPr>
              <w:tab/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. — Москва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C82894" w:rsidRPr="00E51190" w:rsidRDefault="00C82894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2</w:t>
            </w:r>
            <w:r w:rsidRPr="00E51190">
              <w:rPr>
                <w:sz w:val="28"/>
                <w:szCs w:val="28"/>
                <w:lang w:val="ru-RU"/>
              </w:rPr>
              <w:tab/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Стриханов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lastRenderedPageBreak/>
              <w:t>Стриханов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C82894" w:rsidRPr="00E51190" w:rsidRDefault="00C82894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3</w:t>
            </w:r>
            <w:r w:rsidRPr="00E51190">
              <w:rPr>
                <w:sz w:val="28"/>
                <w:szCs w:val="28"/>
                <w:lang w:val="ru-RU"/>
              </w:rPr>
              <w:tab/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, Н. С.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Дядичкина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 [сайт]. — URL: https://urait.ru/bcode/559943</w:t>
            </w:r>
          </w:p>
          <w:p w:rsidR="00C82894" w:rsidRPr="00E51190" w:rsidRDefault="00C82894" w:rsidP="00C82894">
            <w:pPr>
              <w:rPr>
                <w:sz w:val="28"/>
                <w:szCs w:val="28"/>
                <w:lang w:val="ru-RU"/>
              </w:rPr>
            </w:pPr>
          </w:p>
          <w:p w:rsidR="00C82894" w:rsidRPr="00E51190" w:rsidRDefault="00C82894" w:rsidP="00C8289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51190">
              <w:rPr>
                <w:b/>
                <w:bCs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DD33FE" w:rsidRPr="00957D66" w:rsidRDefault="00C82894" w:rsidP="00DD33F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4</w:t>
            </w:r>
            <w:r w:rsidRPr="00E51190">
              <w:rPr>
                <w:sz w:val="28"/>
                <w:szCs w:val="28"/>
                <w:lang w:val="ru-RU"/>
              </w:rPr>
              <w:tab/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Баскетбол, волейбол</w:t>
            </w:r>
            <w:proofErr w:type="gram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редакцией Е.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2-е изд., 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176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978-5-534-19017-5. — Текст</w:t>
            </w:r>
            <w:proofErr w:type="gram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9" w:tgtFrame="_blank" w:history="1"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/569039</w:t>
              </w:r>
            </w:hyperlink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(дата обращения: 21.07.2025)</w:t>
            </w:r>
            <w:proofErr w:type="gram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DD33FE" w:rsidRPr="00957D66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</w:p>
          <w:p w:rsidR="00DD33FE" w:rsidRPr="00957D66" w:rsidRDefault="00DD33FE" w:rsidP="00DD33F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5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ред.Ю.Д.Железняка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,Ю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.М.Портнова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изд.,стер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>. - М.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Академия, 2008. - 397с. : ил. - (Высшее профессиональное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образование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.Ф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изическая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Библиогр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DD33FE" w:rsidRPr="00E90968" w:rsidRDefault="00DD33FE" w:rsidP="00DD33F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6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/566879</w:t>
              </w:r>
            </w:hyperlink>
            <w:r w:rsidRPr="00E90968">
              <w:rPr>
                <w:bCs/>
                <w:sz w:val="28"/>
                <w:szCs w:val="28"/>
                <w:lang w:val="ru-RU"/>
              </w:rPr>
              <w:t>.</w:t>
            </w:r>
          </w:p>
          <w:p w:rsidR="00C82894" w:rsidRPr="00E51190" w:rsidRDefault="00DD33FE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7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Спортивные игры: правила, тактика, техника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Е.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344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978-5-534-18609-3. — Текст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1" w:tgtFrame="_blank" w:history="1"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/565604</w:t>
              </w:r>
            </w:hyperlink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(дата обращения: 21.07.2025)</w:t>
            </w:r>
          </w:p>
          <w:p w:rsidR="00C82894" w:rsidRPr="00E51190" w:rsidRDefault="00C82894" w:rsidP="00C8289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51190">
              <w:rPr>
                <w:b/>
                <w:bCs/>
                <w:sz w:val="28"/>
                <w:szCs w:val="28"/>
                <w:lang w:val="ru-RU"/>
              </w:rPr>
              <w:t>Нормативные документы</w:t>
            </w:r>
          </w:p>
          <w:p w:rsidR="00E50502" w:rsidRPr="00E16F73" w:rsidRDefault="00C82894" w:rsidP="00C82894">
            <w:pPr>
              <w:rPr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9</w:t>
            </w:r>
            <w:r w:rsidRPr="00E51190">
              <w:rPr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>
        <w:trPr>
          <w:trHeight w:val="272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283B6C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2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>
        <w:trPr>
          <w:trHeight w:val="21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283B6C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283B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283B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50502" w:rsidRPr="00283B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283B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283B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283B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сайт Ассоциации студенческого баскетбола России: .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pro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100</w:t>
                  </w:r>
                  <w:r>
                    <w:rPr>
                      <w:color w:val="000000"/>
                      <w:sz w:val="28"/>
                    </w:rPr>
                    <w:t>basket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283B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сайт Международной федерации баскетбола: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fiba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50502" w:rsidRPr="00283B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сайт Российской федерации баскетбола: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basket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283B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>
        <w:trPr>
          <w:trHeight w:val="294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283B6C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2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>
        <w:trPr>
          <w:trHeight w:val="18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E16F73" w:rsidRPr="00283B6C" w:rsidTr="00E16F73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50502" w:rsidRPr="00283B6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5050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50502" w:rsidRPr="00283B6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5050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27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2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283B6C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283B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spacing w:before="200" w:after="200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E16F73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E50502" w:rsidRPr="00E16F73" w:rsidRDefault="00E50502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283B6C">
        <w:trPr>
          <w:trHeight w:val="1268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</w:tbl>
    <w:p w:rsidR="00E50502" w:rsidRPr="00E16F73" w:rsidRDefault="00E50502">
      <w:pPr>
        <w:rPr>
          <w:lang w:val="ru-RU"/>
        </w:rPr>
      </w:pPr>
    </w:p>
    <w:sectPr w:rsidR="00E50502" w:rsidRPr="00E16F73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841" w:rsidRDefault="00952841">
      <w:r>
        <w:separator/>
      </w:r>
    </w:p>
  </w:endnote>
  <w:endnote w:type="continuationSeparator" w:id="0">
    <w:p w:rsidR="00952841" w:rsidRDefault="0095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p w:rsidR="00E50502" w:rsidRDefault="00E50502">
          <w:pPr>
            <w:pStyle w:val="EmptyLayoutCell"/>
          </w:pPr>
        </w:p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050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0502" w:rsidRDefault="00E50502"/>
            </w:tc>
          </w:tr>
        </w:tbl>
        <w:p w:rsidR="00E50502" w:rsidRDefault="00E50502"/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</w:tbl>
  <w:p w:rsidR="00E50502" w:rsidRDefault="00E5050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p w:rsidR="00E50502" w:rsidRDefault="00E50502">
          <w:pPr>
            <w:pStyle w:val="EmptyLayoutCell"/>
          </w:pPr>
        </w:p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050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0502" w:rsidRDefault="00E50502"/>
            </w:tc>
          </w:tr>
        </w:tbl>
        <w:p w:rsidR="00E50502" w:rsidRDefault="00E50502"/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</w:tbl>
  <w:p w:rsidR="00E50502" w:rsidRDefault="00E505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841" w:rsidRDefault="00952841">
      <w:r>
        <w:separator/>
      </w:r>
    </w:p>
  </w:footnote>
  <w:footnote w:type="continuationSeparator" w:id="0">
    <w:p w:rsidR="00952841" w:rsidRDefault="00952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73"/>
    <w:rsid w:val="000257BC"/>
    <w:rsid w:val="00054C5C"/>
    <w:rsid w:val="00063DA3"/>
    <w:rsid w:val="00283B6C"/>
    <w:rsid w:val="00480261"/>
    <w:rsid w:val="00500B11"/>
    <w:rsid w:val="00513551"/>
    <w:rsid w:val="008D18D9"/>
    <w:rsid w:val="00952841"/>
    <w:rsid w:val="00C738B2"/>
    <w:rsid w:val="00C75025"/>
    <w:rsid w:val="00C82894"/>
    <w:rsid w:val="00DD33FE"/>
    <w:rsid w:val="00E16F73"/>
    <w:rsid w:val="00E50502"/>
    <w:rsid w:val="00E53B72"/>
    <w:rsid w:val="00F2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82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94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DD33F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82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94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DD33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560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rait.ru/bcode/566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690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2025-06-03T04:42:00Z</dcterms:created>
  <dcterms:modified xsi:type="dcterms:W3CDTF">2025-11-12T08:58:00Z</dcterms:modified>
</cp:coreProperties>
</file>